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>
        <w:rPr>
          <w:rFonts w:ascii="Comic Sans MS" w:hAnsi="Comic Sans MS" w:cs="TimesNewRomanPSMT"/>
          <w:color w:val="000000"/>
          <w:sz w:val="20"/>
          <w:szCs w:val="20"/>
        </w:rPr>
        <w:t xml:space="preserve">Refus du compteur </w:t>
      </w:r>
      <w:proofErr w:type="spellStart"/>
      <w:r>
        <w:rPr>
          <w:rFonts w:ascii="Comic Sans MS" w:hAnsi="Comic Sans MS" w:cs="TimesNewRomanPSMT"/>
          <w:color w:val="000000"/>
          <w:sz w:val="20"/>
          <w:szCs w:val="20"/>
        </w:rPr>
        <w:t>gazpar</w:t>
      </w:r>
      <w:proofErr w:type="spellEnd"/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>
        <w:rPr>
          <w:rFonts w:ascii="Comic Sans MS" w:hAnsi="Comic Sans MS" w:cs="TimesNewRomanPSMT"/>
          <w:color w:val="000000"/>
          <w:sz w:val="20"/>
          <w:szCs w:val="20"/>
        </w:rPr>
        <w:t xml:space="preserve">Lettre adressée à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GRDF (Gaz Réseau Distribution France)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color w:val="000000"/>
          <w:sz w:val="20"/>
          <w:szCs w:val="20"/>
        </w:rPr>
      </w:pPr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Courrier en recommandé avec accusé de réception.</w:t>
      </w:r>
    </w:p>
    <w:p w:rsid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ItalicMT"/>
          <w:b/>
          <w:bCs/>
          <w:i/>
          <w:iCs/>
          <w:color w:val="000000"/>
          <w:sz w:val="20"/>
          <w:szCs w:val="20"/>
        </w:rPr>
      </w:pPr>
      <w:r w:rsidRPr="00C91495">
        <w:rPr>
          <w:rFonts w:ascii="Comic Sans MS" w:hAnsi="Comic Sans MS" w:cs="TimesNewRomanPS-BoldItalicMT"/>
          <w:b/>
          <w:bCs/>
          <w:i/>
          <w:iCs/>
          <w:color w:val="000000"/>
          <w:sz w:val="20"/>
          <w:szCs w:val="20"/>
        </w:rPr>
        <w:t xml:space="preserve">Copie </w:t>
      </w:r>
      <w:r>
        <w:rPr>
          <w:rFonts w:ascii="Comic Sans MS" w:hAnsi="Comic Sans MS" w:cs="TimesNewRomanPS-BoldItalicMT"/>
          <w:b/>
          <w:bCs/>
          <w:i/>
          <w:iCs/>
          <w:color w:val="000000"/>
          <w:sz w:val="20"/>
          <w:szCs w:val="20"/>
        </w:rPr>
        <w:t>au maire de la commune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color w:val="000000"/>
          <w:sz w:val="20"/>
          <w:szCs w:val="20"/>
        </w:rPr>
      </w:pPr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Objet : refus du remplacement de mon compteur de gaz par le compteur </w:t>
      </w:r>
      <w:proofErr w:type="spellStart"/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Gazpar</w:t>
      </w:r>
      <w:proofErr w:type="spellEnd"/>
    </w:p>
    <w:p w:rsid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</w:p>
    <w:p w:rsidR="0087035F" w:rsidRDefault="0087035F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bookmarkStart w:id="0" w:name="_GoBack"/>
      <w:r>
        <w:rPr>
          <w:rFonts w:ascii="Comic Sans MS" w:hAnsi="Comic Sans MS" w:cs="TimesNewRomanPSMT"/>
          <w:color w:val="000000"/>
          <w:sz w:val="20"/>
          <w:szCs w:val="20"/>
        </w:rPr>
        <w:t>Nom, Prénom ;           adresse ;               PCE</w:t>
      </w:r>
    </w:p>
    <w:p w:rsidR="0087035F" w:rsidRPr="0087035F" w:rsidRDefault="0087035F" w:rsidP="00870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color w:val="000000"/>
          <w:sz w:val="20"/>
          <w:szCs w:val="20"/>
        </w:rPr>
      </w:pPr>
      <w:proofErr w:type="spellStart"/>
      <w:r w:rsidRPr="0087035F">
        <w:rPr>
          <w:rFonts w:ascii="Comic Sans MS" w:hAnsi="Comic Sans MS" w:cs="TimesNewRomanPSMT"/>
          <w:b/>
          <w:color w:val="000000"/>
          <w:sz w:val="20"/>
          <w:szCs w:val="20"/>
        </w:rPr>
        <w:t>GrDF</w:t>
      </w:r>
      <w:proofErr w:type="spellEnd"/>
      <w:r w:rsidRPr="0087035F">
        <w:rPr>
          <w:rFonts w:ascii="Comic Sans MS" w:hAnsi="Comic Sans MS" w:cs="TimesNewRomanPSMT"/>
          <w:b/>
          <w:color w:val="000000"/>
          <w:sz w:val="20"/>
          <w:szCs w:val="20"/>
        </w:rPr>
        <w:t> ; service clients</w:t>
      </w:r>
    </w:p>
    <w:p w:rsidR="0087035F" w:rsidRPr="0087035F" w:rsidRDefault="0087035F" w:rsidP="00870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color w:val="000000"/>
          <w:sz w:val="20"/>
          <w:szCs w:val="20"/>
        </w:rPr>
      </w:pPr>
      <w:r w:rsidRPr="0087035F">
        <w:rPr>
          <w:rFonts w:ascii="Comic Sans MS" w:hAnsi="Comic Sans MS" w:cs="TimesNewRomanPSMT"/>
          <w:b/>
          <w:color w:val="000000"/>
          <w:sz w:val="20"/>
          <w:szCs w:val="20"/>
        </w:rPr>
        <w:t>Compteurs communicants gaz</w:t>
      </w:r>
    </w:p>
    <w:p w:rsidR="0087035F" w:rsidRPr="0087035F" w:rsidRDefault="0087035F" w:rsidP="00870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color w:val="000000"/>
          <w:sz w:val="20"/>
          <w:szCs w:val="20"/>
        </w:rPr>
      </w:pPr>
      <w:r w:rsidRPr="0087035F">
        <w:rPr>
          <w:rFonts w:ascii="Comic Sans MS" w:hAnsi="Comic Sans MS" w:cs="TimesNewRomanPSMT"/>
          <w:b/>
          <w:color w:val="000000"/>
          <w:sz w:val="20"/>
          <w:szCs w:val="20"/>
        </w:rPr>
        <w:t>TSA 85101</w:t>
      </w:r>
    </w:p>
    <w:p w:rsidR="0087035F" w:rsidRPr="0087035F" w:rsidRDefault="0087035F" w:rsidP="00870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color w:val="000000"/>
          <w:sz w:val="20"/>
          <w:szCs w:val="20"/>
        </w:rPr>
      </w:pPr>
      <w:r w:rsidRPr="0087035F">
        <w:rPr>
          <w:rFonts w:ascii="Comic Sans MS" w:hAnsi="Comic Sans MS" w:cs="TimesNewRomanPSMT"/>
          <w:b/>
          <w:color w:val="000000"/>
          <w:sz w:val="20"/>
          <w:szCs w:val="20"/>
        </w:rPr>
        <w:t>27091 EVREUX cedex</w:t>
      </w:r>
    </w:p>
    <w:bookmarkEnd w:id="0"/>
    <w:p w:rsidR="0087035F" w:rsidRDefault="0087035F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</w:p>
    <w:p w:rsidR="0087035F" w:rsidRDefault="0087035F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91495">
        <w:rPr>
          <w:rFonts w:ascii="Comic Sans MS" w:hAnsi="Comic Sans MS" w:cs="TimesNewRomanPSMT"/>
          <w:color w:val="000000"/>
          <w:sz w:val="20"/>
          <w:szCs w:val="20"/>
        </w:rPr>
        <w:t>Madame, Monsieur,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91495">
        <w:rPr>
          <w:rFonts w:ascii="Comic Sans MS" w:hAnsi="Comic Sans MS" w:cs="TimesNewRomanPSMT"/>
          <w:color w:val="000000"/>
          <w:sz w:val="20"/>
          <w:szCs w:val="20"/>
        </w:rPr>
        <w:t>Nous avons reçu fin septembre un courrier contenant un « dossier d’étude de branchement »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concernant le renouvellement du réseau de gaz et la reprise de branchement. Dans ce dossier on nous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demandait de signer un document qui ne nous semblait pas clair et que nous n’avons jamais ni signé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ni renvoyé. Dans un courrier déposé dans notre boite aux lettres autour du 20 octobre, GRDF et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l’entreprise T</w:t>
      </w:r>
      <w:r>
        <w:rPr>
          <w:rFonts w:ascii="Comic Sans MS" w:hAnsi="Comic Sans MS" w:cs="TimesNewRomanPSMT"/>
          <w:color w:val="000000"/>
          <w:sz w:val="20"/>
          <w:szCs w:val="20"/>
        </w:rPr>
        <w:t>…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 xml:space="preserve"> nous informait que des travaux allaient avoir lieu dans notre rue pour «mettre à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jour le réseau » et ce, malgré l’absence de notre accord signé. Il nous a été très difficile d’obtenir des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informations sur ce qui allait être réellement fait comme travaux sur notre installation. Après avoir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eu plusieurs interlocuteurs chez T</w:t>
      </w:r>
      <w:r>
        <w:rPr>
          <w:rFonts w:ascii="Comic Sans MS" w:hAnsi="Comic Sans MS" w:cs="TimesNewRomanPSMT"/>
          <w:color w:val="000000"/>
          <w:sz w:val="20"/>
          <w:szCs w:val="20"/>
        </w:rPr>
        <w:t>…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 xml:space="preserve"> puis un contact chez GRDF, nous avons finalement compris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 xml:space="preserve">que l’on prévoyait de nous installer le compteur communicant « </w:t>
      </w:r>
      <w:proofErr w:type="spellStart"/>
      <w:r w:rsidRPr="00C91495">
        <w:rPr>
          <w:rFonts w:ascii="Comic Sans MS" w:hAnsi="Comic Sans MS" w:cs="TimesNewRomanPSMT"/>
          <w:color w:val="000000"/>
          <w:sz w:val="20"/>
          <w:szCs w:val="20"/>
        </w:rPr>
        <w:t>Gazpar</w:t>
      </w:r>
      <w:proofErr w:type="spellEnd"/>
      <w:r w:rsidRPr="00C91495">
        <w:rPr>
          <w:rFonts w:ascii="Comic Sans MS" w:hAnsi="Comic Sans MS" w:cs="TimesNewRomanPSMT"/>
          <w:color w:val="000000"/>
          <w:sz w:val="20"/>
          <w:szCs w:val="20"/>
        </w:rPr>
        <w:t xml:space="preserve"> ». Il a fallu directement poser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la question à l’interlocuteur de GRDF qui nous a dit que la pose était prévue chez nous pour le 5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décembre.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91495">
        <w:rPr>
          <w:rFonts w:ascii="Comic Sans MS" w:hAnsi="Comic Sans MS" w:cs="TimesNewRomanPSMT"/>
          <w:color w:val="000000"/>
          <w:sz w:val="20"/>
          <w:szCs w:val="20"/>
        </w:rPr>
        <w:t>Plusieurs points nous interpellent :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91495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Cette méthode nous parait un passage en force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où l’on tente de nous faire signer un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document qui cache la vérité. Concernant le compteur, sur la première page du document, il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est indiqué (« Situation actuelle : compteur conservé, Situation projetée compteur remplacé).</w:t>
      </w:r>
    </w:p>
    <w:p w:rsid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color w:val="000000"/>
          <w:sz w:val="20"/>
          <w:szCs w:val="20"/>
        </w:rPr>
      </w:pPr>
      <w:r w:rsidRPr="00C91495">
        <w:rPr>
          <w:rFonts w:ascii="Comic Sans MS" w:hAnsi="Comic Sans MS" w:cs="TimesNewRomanPSMT"/>
          <w:color w:val="000000"/>
          <w:sz w:val="20"/>
          <w:szCs w:val="20"/>
        </w:rPr>
        <w:t xml:space="preserve">Au verso, il est marqué rééquipement complet du coffret « Compteur </w:t>
      </w:r>
      <w:proofErr w:type="spellStart"/>
      <w:r w:rsidRPr="00C91495">
        <w:rPr>
          <w:rFonts w:ascii="Comic Sans MS" w:hAnsi="Comic Sans MS" w:cs="TimesNewRomanPSMT"/>
          <w:color w:val="000000"/>
          <w:sz w:val="20"/>
          <w:szCs w:val="20"/>
        </w:rPr>
        <w:t>Garpar</w:t>
      </w:r>
      <w:proofErr w:type="spellEnd"/>
      <w:r w:rsidRPr="00C91495">
        <w:rPr>
          <w:rFonts w:ascii="Comic Sans MS" w:hAnsi="Comic Sans MS" w:cs="TimesNewRomanPSMT"/>
          <w:color w:val="000000"/>
          <w:sz w:val="20"/>
          <w:szCs w:val="20"/>
        </w:rPr>
        <w:t xml:space="preserve"> » (et non pas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proofErr w:type="spellStart"/>
      <w:r w:rsidRPr="00C91495">
        <w:rPr>
          <w:rFonts w:ascii="Comic Sans MS" w:hAnsi="Comic Sans MS" w:cs="TimesNewRomanPSMT"/>
          <w:color w:val="000000"/>
          <w:sz w:val="20"/>
          <w:szCs w:val="20"/>
        </w:rPr>
        <w:t>gazpar</w:t>
      </w:r>
      <w:proofErr w:type="spellEnd"/>
      <w:r w:rsidRPr="00C91495">
        <w:rPr>
          <w:rFonts w:ascii="Comic Sans MS" w:hAnsi="Comic Sans MS" w:cs="TimesNewRomanPSMT"/>
          <w:color w:val="000000"/>
          <w:sz w:val="20"/>
          <w:szCs w:val="20"/>
        </w:rPr>
        <w:t>) mais dans le détail il est mis 1 robinet, 1 régulateur …. Mais pas de compteur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SymbolMT"/>
          <w:color w:val="000000"/>
          <w:sz w:val="20"/>
          <w:szCs w:val="20"/>
        </w:rPr>
        <w:t>•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91495">
        <w:rPr>
          <w:rFonts w:ascii="Comic Sans MS" w:hAnsi="Comic Sans MS" w:cs="SymbolMT"/>
          <w:b/>
          <w:color w:val="000000"/>
          <w:sz w:val="20"/>
          <w:szCs w:val="20"/>
        </w:rPr>
        <w:t>.</w:t>
      </w:r>
      <w:r w:rsidRPr="00C91495">
        <w:rPr>
          <w:rFonts w:ascii="Comic Sans MS" w:hAnsi="Comic Sans MS" w:cs="Symbol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 xml:space="preserve">Il est </w:t>
      </w:r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injustifiable sur le plan environnemental et financier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de se débarrasser de 11 millions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de compteurs de gaz en état de marche. D’autre part, remplacer des emplois humains par du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relevé à distance nous interpelle.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91495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Ce type de compteur est également l’objet d’un certain nombre d’interrogations (effets sur la</w:t>
      </w:r>
      <w:r>
        <w:rPr>
          <w:rFonts w:ascii="Comic Sans MS" w:hAnsi="Comic Sans MS" w:cs="TimesNewRomanPSMT"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MT"/>
          <w:color w:val="000000"/>
          <w:sz w:val="20"/>
          <w:szCs w:val="20"/>
        </w:rPr>
        <w:t>santé, protection des données personnelles, installation d’antennes relais …)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color w:val="000000"/>
          <w:sz w:val="20"/>
          <w:szCs w:val="20"/>
        </w:rPr>
      </w:pPr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En attente d’une réponse de votre part, nous vous informons que nous refusons l’installation</w:t>
      </w:r>
      <w:r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 </w:t>
      </w:r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du compteur </w:t>
      </w:r>
      <w:proofErr w:type="spellStart"/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Gazpar</w:t>
      </w:r>
      <w:proofErr w:type="spellEnd"/>
      <w:r w:rsidRPr="00C91495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 à notre domicile.</w:t>
      </w:r>
    </w:p>
    <w:p w:rsidR="00C91495" w:rsidRPr="00C91495" w:rsidRDefault="00C91495" w:rsidP="00C914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91495">
        <w:rPr>
          <w:rFonts w:ascii="Comic Sans MS" w:hAnsi="Comic Sans MS" w:cs="TimesNewRomanPSMT"/>
          <w:color w:val="000000"/>
          <w:sz w:val="20"/>
          <w:szCs w:val="20"/>
        </w:rPr>
        <w:t>Nous vous prions de recevoir, Madame, Monsieur, nos salutations distinguées.</w:t>
      </w:r>
    </w:p>
    <w:sectPr w:rsidR="00C91495" w:rsidRPr="00C9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95"/>
    <w:rsid w:val="002C4DED"/>
    <w:rsid w:val="0085220A"/>
    <w:rsid w:val="0087035F"/>
    <w:rsid w:val="00C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ACE1-31A6-4CCE-A208-59323296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70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7035F"/>
    <w:rPr>
      <w:rFonts w:ascii="Times New Roman" w:eastAsia="Times New Roman" w:hAnsi="Times New Roman" w:cs="Times New Roman"/>
      <w:sz w:val="28"/>
      <w:szCs w:val="2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2019-11-12T07:43:00Z</dcterms:created>
  <dcterms:modified xsi:type="dcterms:W3CDTF">2019-12-04T10:18:00Z</dcterms:modified>
</cp:coreProperties>
</file>