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2D" w:rsidRDefault="00062C2D" w:rsidP="00062C2D">
      <w:pPr>
        <w:spacing w:after="0" w:line="240" w:lineRule="auto"/>
        <w:rPr>
          <w:rFonts w:ascii="Comic Sans MS" w:eastAsia="Times New Roman" w:hAnsi="Comic Sans MS" w:cs="Times New Roman"/>
          <w:b/>
          <w:bCs/>
          <w:sz w:val="24"/>
          <w:szCs w:val="24"/>
          <w:lang w:eastAsia="fr-FR"/>
        </w:rPr>
      </w:pPr>
      <w:bookmarkStart w:id="0" w:name="_GoBack"/>
      <w:bookmarkEnd w:id="0"/>
      <w:r>
        <w:rPr>
          <w:rFonts w:ascii="Comic Sans MS" w:eastAsia="Times New Roman" w:hAnsi="Comic Sans MS" w:cs="Times New Roman"/>
          <w:b/>
          <w:bCs/>
          <w:sz w:val="24"/>
          <w:szCs w:val="24"/>
          <w:lang w:eastAsia="fr-FR"/>
        </w:rPr>
        <w:t>La protection des citoyens</w:t>
      </w:r>
    </w:p>
    <w:p w:rsidR="00062C2D"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A partir du moment où un abonné a exprimé un refus catégorique, en particulier par lettre RAR à l’ordre d’ENEDIS, toute installation de compteur peut être considérée comme une pose forcée et abusive.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1. Dès lors, elle tombe sous le coup de la loi sur l’abus de pouvoir ou abus d’autorité, et atteinte à la liberté individuelle.</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ABUS D’AUTORITÉ (ou ABUS DE POUVOIR)</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5" w:tgtFrame="_blank" w:history="1">
        <w:r w:rsidRPr="00062C2D">
          <w:rPr>
            <w:rFonts w:ascii="Comic Sans MS" w:eastAsia="Times New Roman" w:hAnsi="Comic Sans MS" w:cs="Times New Roman"/>
            <w:b/>
            <w:bCs/>
            <w:color w:val="0000FF"/>
            <w:sz w:val="24"/>
            <w:szCs w:val="24"/>
            <w:u w:val="single"/>
            <w:lang w:eastAsia="fr-FR"/>
          </w:rPr>
          <w:t>Article 432-4 du Code Pénal</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Le fait, par une personne dépositaire de l’autorité publique ou chargée d’une mission de service public, agissant dans l’exercice ou à l’occasion de l’exercice de ses fonctions ou de sa mission, d’ordonner ou d’accomplir arbitrairement un acte attentatoire à la liberté individuelle est puni de sept ans d’emprisonnement et de 100 000 euros d’amende.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2. Si la pose forcée s’exerce sur une personne malade ou âgée, ou sur une femme enceinte, cet acte peut être assimilé à un abus de faiblesse.</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ABUS DE FAIBLESSE</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6" w:tgtFrame="_blank" w:history="1">
        <w:r w:rsidRPr="00062C2D">
          <w:rPr>
            <w:rFonts w:ascii="Comic Sans MS" w:eastAsia="Times New Roman" w:hAnsi="Comic Sans MS" w:cs="Times New Roman"/>
            <w:b/>
            <w:bCs/>
            <w:color w:val="0000FF"/>
            <w:sz w:val="24"/>
            <w:szCs w:val="24"/>
            <w:u w:val="single"/>
            <w:lang w:eastAsia="fr-FR"/>
          </w:rPr>
          <w:t>Article 223-15-2 du Code Pénal</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Est puni de trois ans d’emprisonnement et de 375 000 euros d’amende l’abus frauduleux de l’état d’ignorance ou de la situation de faiblesse soit d’un mineur, soit d’une personne dont la particulière vulnérabilité, due à son âge, à une maladie, à une infirmité, à une déficience physique ou psychique ou à un état de grossesse, est apparente ou connue de son auteur, soit d’une personne en état de sujétion psychologique ou physique résultant de l’exercice de pressions graves ou réitérées ou de techniques propres à altérer son jugement, pour conduire ce mineur ou cette personne à un acte ou à une abstention qui lui sont gravement préjudiciables.</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3. Les menaces de violences sont également réprimées.</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MENACES DE VIOLENCES</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7" w:tgtFrame="_blank" w:history="1">
        <w:r w:rsidRPr="00062C2D">
          <w:rPr>
            <w:rFonts w:ascii="Comic Sans MS" w:eastAsia="Times New Roman" w:hAnsi="Comic Sans MS" w:cs="Times New Roman"/>
            <w:b/>
            <w:bCs/>
            <w:color w:val="0000FF"/>
            <w:sz w:val="24"/>
            <w:szCs w:val="24"/>
            <w:u w:val="single"/>
            <w:lang w:eastAsia="fr-FR"/>
          </w:rPr>
          <w:t>Article R623-1 du Code Pénal</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 xml:space="preserve">Hors les cas prévus par les </w:t>
      </w:r>
      <w:hyperlink r:id="rId8" w:history="1">
        <w:r w:rsidRPr="00062C2D">
          <w:rPr>
            <w:rFonts w:ascii="Comic Sans MS" w:eastAsia="Times New Roman" w:hAnsi="Comic Sans MS" w:cs="Times New Roman"/>
            <w:i/>
            <w:iCs/>
            <w:color w:val="0000FF"/>
            <w:sz w:val="24"/>
            <w:szCs w:val="24"/>
            <w:u w:val="single"/>
            <w:lang w:eastAsia="fr-FR"/>
          </w:rPr>
          <w:t>articles 222-17 et 222-18</w:t>
        </w:r>
      </w:hyperlink>
      <w:r w:rsidRPr="00062C2D">
        <w:rPr>
          <w:rFonts w:ascii="Comic Sans MS" w:eastAsia="Times New Roman" w:hAnsi="Comic Sans MS" w:cs="Times New Roman"/>
          <w:i/>
          <w:iCs/>
          <w:sz w:val="24"/>
          <w:szCs w:val="24"/>
          <w:lang w:eastAsia="fr-FR"/>
        </w:rPr>
        <w:t>, la menace de commettre des violences contre une personne, lorsque cette menace est soit réitérée, soit matérialisée par un écrit, une image ou tout autre objet, est punie de l’amende prévue pour les contraventions de la 3e classe.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4. Les passages en force avec effraction, tentative d’effraction, dégradation ou destruction sont des délits.</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proofErr w:type="gramStart"/>
      <w:r w:rsidRPr="00062C2D">
        <w:rPr>
          <w:rFonts w:ascii="Comic Sans MS" w:eastAsia="Times New Roman" w:hAnsi="Comic Sans MS" w:cs="Times New Roman"/>
          <w:b/>
          <w:bCs/>
          <w:sz w:val="24"/>
          <w:szCs w:val="24"/>
          <w:lang w:eastAsia="fr-FR"/>
        </w:rPr>
        <w:t>a</w:t>
      </w:r>
      <w:proofErr w:type="gramEnd"/>
      <w:r w:rsidRPr="00062C2D">
        <w:rPr>
          <w:rFonts w:ascii="Comic Sans MS" w:eastAsia="Times New Roman" w:hAnsi="Comic Sans MS" w:cs="Times New Roman"/>
          <w:b/>
          <w:bCs/>
          <w:sz w:val="24"/>
          <w:szCs w:val="24"/>
          <w:lang w:eastAsia="fr-FR"/>
        </w:rPr>
        <w:t>. EFFRACTION OU TENTATIVE D’EFFRACTION</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9" w:tgtFrame="_blank" w:history="1">
        <w:r w:rsidRPr="00062C2D">
          <w:rPr>
            <w:rFonts w:ascii="Comic Sans MS" w:eastAsia="Times New Roman" w:hAnsi="Comic Sans MS" w:cs="Times New Roman"/>
            <w:b/>
            <w:bCs/>
            <w:color w:val="0000FF"/>
            <w:sz w:val="24"/>
            <w:szCs w:val="24"/>
            <w:u w:val="single"/>
            <w:lang w:eastAsia="fr-FR"/>
          </w:rPr>
          <w:t>Article 132-73 du Code Pénal</w:t>
        </w:r>
      </w:hyperlink>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i/>
          <w:iCs/>
          <w:sz w:val="24"/>
          <w:szCs w:val="24"/>
          <w:lang w:eastAsia="fr-FR"/>
        </w:rPr>
        <w:lastRenderedPageBreak/>
        <w:t>L’effraction consiste dans le forcement, la dégradation ou la destruction de tout dispositif de fermeture ou de toute espèce de clôture. Est assimilé à l’effraction l’usage de fausses clefs, de clefs indûment obtenues ou de tout instrument pouvant être frauduleusement employé pour actionner un dispositif de fermeture sans le forcer ni le dégrader.</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proofErr w:type="gramStart"/>
      <w:r w:rsidRPr="00062C2D">
        <w:rPr>
          <w:rFonts w:ascii="Comic Sans MS" w:eastAsia="Times New Roman" w:hAnsi="Comic Sans MS" w:cs="Times New Roman"/>
          <w:b/>
          <w:bCs/>
          <w:sz w:val="24"/>
          <w:szCs w:val="24"/>
          <w:lang w:eastAsia="fr-FR"/>
        </w:rPr>
        <w:t>b</w:t>
      </w:r>
      <w:proofErr w:type="gramEnd"/>
      <w:r w:rsidRPr="00062C2D">
        <w:rPr>
          <w:rFonts w:ascii="Comic Sans MS" w:eastAsia="Times New Roman" w:hAnsi="Comic Sans MS" w:cs="Times New Roman"/>
          <w:b/>
          <w:bCs/>
          <w:sz w:val="24"/>
          <w:szCs w:val="24"/>
          <w:lang w:eastAsia="fr-FR"/>
        </w:rPr>
        <w:t>. DÉGRADATION OU DESTRUCTION DU BIEN D’AUTRUI</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10" w:tgtFrame="_blank" w:history="1">
        <w:r w:rsidRPr="00062C2D">
          <w:rPr>
            <w:rFonts w:ascii="Comic Sans MS" w:eastAsia="Times New Roman" w:hAnsi="Comic Sans MS" w:cs="Times New Roman"/>
            <w:b/>
            <w:bCs/>
            <w:color w:val="0000FF"/>
            <w:sz w:val="24"/>
            <w:szCs w:val="24"/>
            <w:u w:val="single"/>
            <w:lang w:eastAsia="fr-FR"/>
          </w:rPr>
          <w:t>Article 322-1 du Code Pénal </w:t>
        </w:r>
      </w:hyperlink>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i/>
          <w:iCs/>
          <w:sz w:val="24"/>
          <w:szCs w:val="24"/>
          <w:lang w:eastAsia="fr-FR"/>
        </w:rPr>
        <w:t>La destruction, la dégradation ou la détérioration d’un bien appartenant à autrui est punie de deux ans d’emprisonnement et de 30 000 euros d’amende.</w:t>
      </w:r>
    </w:p>
    <w:p w:rsidR="00A51920" w:rsidRDefault="00062C2D" w:rsidP="00A51920">
      <w:pPr>
        <w:spacing w:after="0" w:line="240" w:lineRule="auto"/>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xml:space="preserve">c. DESTRUCTIONS, DÉGRADATIONS ET DÉTÉRIORATIONS DANGEREUSES POUR LES PERSONNES </w:t>
      </w:r>
      <w:r w:rsidRPr="00062C2D">
        <w:rPr>
          <w:rFonts w:ascii="Comic Sans MS" w:eastAsia="Times New Roman" w:hAnsi="Comic Sans MS" w:cs="Times New Roman"/>
          <w:sz w:val="24"/>
          <w:szCs w:val="24"/>
          <w:lang w:eastAsia="fr-FR"/>
        </w:rPr>
        <w:br/>
      </w:r>
      <w:hyperlink r:id="rId11" w:tgtFrame="_blank" w:history="1">
        <w:r w:rsidRPr="00062C2D">
          <w:rPr>
            <w:rFonts w:ascii="Comic Sans MS" w:eastAsia="Times New Roman" w:hAnsi="Comic Sans MS" w:cs="Times New Roman"/>
            <w:b/>
            <w:bCs/>
            <w:color w:val="0000FF"/>
            <w:sz w:val="24"/>
            <w:szCs w:val="24"/>
            <w:u w:val="single"/>
            <w:lang w:eastAsia="fr-FR"/>
          </w:rPr>
          <w:t>Article 322-5 du Code Pénal</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La destruction, la dégradation ou la détérioration involontaire d’un bien appartenant à autrui par l’effet d’une explosion ou d’un incendie provoqués par manquement à une obligation de prudence ou de sécurité imposée par la loi ou le règlement est punie d’un an d’emprisonnement et de 15 000 euros d’amende.</w:t>
      </w:r>
      <w:r w:rsidRPr="00062C2D">
        <w:rPr>
          <w:rFonts w:ascii="Comic Sans MS" w:eastAsia="Times New Roman" w:hAnsi="Comic Sans MS" w:cs="Times New Roman"/>
          <w:sz w:val="24"/>
          <w:szCs w:val="24"/>
          <w:lang w:eastAsia="fr-FR"/>
        </w:rPr>
        <w:br/>
      </w:r>
      <w:r w:rsidRPr="00062C2D">
        <w:rPr>
          <w:rFonts w:ascii="Comic Sans MS" w:eastAsia="Times New Roman" w:hAnsi="Comic Sans MS" w:cs="Times New Roman"/>
          <w:i/>
          <w:iCs/>
          <w:sz w:val="24"/>
          <w:szCs w:val="24"/>
          <w:lang w:eastAsia="fr-FR"/>
        </w:rPr>
        <w:t>En cas de violation manifestement délibérée d’une obligation particulière de prudence ou de sécurité prévue par la loi ou le règlement, les peines encourues sont portées à deux ans d’emprisonnement et à 30 000 euros d’amende…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xml:space="preserve">   5. Toute intrusion dans un domicile, sans y avoir été invité, est considérée comme une violation de domicile. </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a. VIOLATION DE DOMICILE</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12" w:tgtFrame="_blank" w:history="1">
        <w:r w:rsidRPr="00062C2D">
          <w:rPr>
            <w:rFonts w:ascii="Comic Sans MS" w:eastAsia="Times New Roman" w:hAnsi="Comic Sans MS" w:cs="Times New Roman"/>
            <w:b/>
            <w:bCs/>
            <w:color w:val="0000FF"/>
            <w:sz w:val="24"/>
            <w:szCs w:val="24"/>
            <w:u w:val="single"/>
            <w:lang w:eastAsia="fr-FR"/>
          </w:rPr>
          <w:t>Article 432-8 du Code Pénal</w:t>
        </w:r>
      </w:hyperlink>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i/>
          <w:iCs/>
          <w:sz w:val="24"/>
          <w:szCs w:val="24"/>
          <w:lang w:eastAsia="fr-FR"/>
        </w:rPr>
        <w:t>Le fait, par une personne dépositaire de l’autorité publique ou chargée d’une mission de service public, agissant dans l’exercice ou à l’occasion de l’exercice de ses fonctions ou de sa mission, de s’introduire ou de tenter de s’introduire dans le domicile d’autrui contre le gré de celui-ci hors les cas prévus par la loi est puni de deux ans d’emprisonnement et de 30 000 euros d’amende.</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b. ATTEINTE À LA VIE PRIVÉE</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13" w:tgtFrame="_blank" w:history="1">
        <w:r w:rsidRPr="00062C2D">
          <w:rPr>
            <w:rFonts w:ascii="Comic Sans MS" w:eastAsia="Times New Roman" w:hAnsi="Comic Sans MS" w:cs="Times New Roman"/>
            <w:b/>
            <w:bCs/>
            <w:color w:val="0000FF"/>
            <w:sz w:val="24"/>
            <w:szCs w:val="24"/>
            <w:u w:val="single"/>
            <w:lang w:eastAsia="fr-FR"/>
          </w:rPr>
          <w:t>Article 226-4 du Code Pénal</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L’introduction dans le domicile d’autrui à l’aide de manœuvres, menaces, voies de fait ou contrainte, hors les cas où la loi le permet, est puni d’un an d’emprisonnement et de 15 000 euros d’amende. Le maintien dans le domicile d’autrui à la suite de l’introduction mentionnée au premier alinéa, hors les cas où la loi le permet, est puni des mêmes peines.</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6. Si les faits commis sont susceptibles de menacer ou de porter atteinte à l’intégrité de la personne, ils sont considérés comme des délits :</w:t>
      </w:r>
    </w:p>
    <w:p w:rsidR="00A51920" w:rsidRPr="00A51920" w:rsidRDefault="00062C2D" w:rsidP="00A51920">
      <w:pPr>
        <w:pStyle w:val="Paragraphedeliste"/>
        <w:numPr>
          <w:ilvl w:val="0"/>
          <w:numId w:val="3"/>
        </w:numPr>
        <w:spacing w:after="0" w:line="240" w:lineRule="auto"/>
        <w:jc w:val="both"/>
        <w:rPr>
          <w:rFonts w:ascii="Comic Sans MS" w:eastAsia="Times New Roman" w:hAnsi="Comic Sans MS" w:cs="Times New Roman"/>
          <w:b/>
          <w:bCs/>
          <w:sz w:val="24"/>
          <w:szCs w:val="24"/>
          <w:lang w:eastAsia="fr-FR"/>
        </w:rPr>
      </w:pPr>
      <w:r w:rsidRPr="00A51920">
        <w:rPr>
          <w:rFonts w:ascii="Comic Sans MS" w:eastAsia="Times New Roman" w:hAnsi="Comic Sans MS" w:cs="Times New Roman"/>
          <w:b/>
          <w:bCs/>
          <w:sz w:val="24"/>
          <w:szCs w:val="24"/>
          <w:lang w:eastAsia="fr-FR"/>
        </w:rPr>
        <w:t xml:space="preserve">RISQUES CAUSÉS À AUTRUI </w:t>
      </w:r>
    </w:p>
    <w:p w:rsidR="00A51920" w:rsidRDefault="00062C2D" w:rsidP="00A51920">
      <w:pPr>
        <w:spacing w:after="0" w:line="240" w:lineRule="auto"/>
        <w:ind w:left="360"/>
        <w:jc w:val="both"/>
        <w:rPr>
          <w:rFonts w:ascii="Comic Sans MS" w:eastAsia="Times New Roman" w:hAnsi="Comic Sans MS" w:cs="Times New Roman"/>
          <w:sz w:val="24"/>
          <w:szCs w:val="24"/>
          <w:lang w:eastAsia="fr-FR"/>
        </w:rPr>
      </w:pPr>
      <w:hyperlink r:id="rId14" w:tgtFrame="_blank" w:history="1">
        <w:r w:rsidRPr="00A51920">
          <w:rPr>
            <w:rFonts w:ascii="Comic Sans MS" w:eastAsia="Times New Roman" w:hAnsi="Comic Sans MS" w:cs="Times New Roman"/>
            <w:b/>
            <w:bCs/>
            <w:color w:val="0000FF"/>
            <w:sz w:val="24"/>
            <w:szCs w:val="24"/>
            <w:u w:val="single"/>
            <w:lang w:eastAsia="fr-FR"/>
          </w:rPr>
          <w:t>Article 223-1 du Code Pénal</w:t>
        </w:r>
      </w:hyperlink>
    </w:p>
    <w:p w:rsidR="00062C2D" w:rsidRPr="00A51920" w:rsidRDefault="00062C2D" w:rsidP="00A51920">
      <w:pPr>
        <w:spacing w:after="0" w:line="240" w:lineRule="auto"/>
        <w:ind w:left="360"/>
        <w:jc w:val="both"/>
        <w:rPr>
          <w:rFonts w:ascii="Comic Sans MS" w:eastAsia="Times New Roman" w:hAnsi="Comic Sans MS" w:cs="Times New Roman"/>
          <w:sz w:val="24"/>
          <w:szCs w:val="24"/>
          <w:lang w:eastAsia="fr-FR"/>
        </w:rPr>
      </w:pPr>
      <w:r w:rsidRPr="00A51920">
        <w:rPr>
          <w:rFonts w:ascii="Comic Sans MS" w:eastAsia="Times New Roman" w:hAnsi="Comic Sans MS" w:cs="Times New Roman"/>
          <w:i/>
          <w:iCs/>
          <w:sz w:val="24"/>
          <w:szCs w:val="24"/>
          <w:lang w:eastAsia="fr-FR"/>
        </w:rPr>
        <w:lastRenderedPageBreak/>
        <w:t>Le fait d’exposer directement autrui à un risque immédiat de mort ou de blessures de nature à entraîner une mutilation ou une infirmité permanente par la violation manifestement délibérée d’une obligation particulière de prudence ou de sécurité imposée par la loi ou le règlement est puni d’un an d’emprisonnement et de 15 000 euros d’amende.</w:t>
      </w:r>
    </w:p>
    <w:p w:rsidR="00A51920" w:rsidRPr="00A51920" w:rsidRDefault="00062C2D" w:rsidP="00A51920">
      <w:pPr>
        <w:pStyle w:val="Paragraphedeliste"/>
        <w:numPr>
          <w:ilvl w:val="0"/>
          <w:numId w:val="3"/>
        </w:numPr>
        <w:spacing w:after="0" w:line="240" w:lineRule="auto"/>
        <w:jc w:val="both"/>
        <w:rPr>
          <w:rFonts w:ascii="Comic Sans MS" w:eastAsia="Times New Roman" w:hAnsi="Comic Sans MS" w:cs="Times New Roman"/>
          <w:b/>
          <w:bCs/>
          <w:sz w:val="24"/>
          <w:szCs w:val="24"/>
          <w:lang w:eastAsia="fr-FR"/>
        </w:rPr>
      </w:pPr>
      <w:r w:rsidRPr="00A51920">
        <w:rPr>
          <w:rFonts w:ascii="Comic Sans MS" w:eastAsia="Times New Roman" w:hAnsi="Comic Sans MS" w:cs="Times New Roman"/>
          <w:b/>
          <w:bCs/>
          <w:sz w:val="24"/>
          <w:szCs w:val="24"/>
          <w:lang w:eastAsia="fr-FR"/>
        </w:rPr>
        <w:t>ATTEINTE À L’INTÉGRITÉ DE LA PERSONNE</w:t>
      </w:r>
    </w:p>
    <w:p w:rsidR="00A51920" w:rsidRDefault="00062C2D" w:rsidP="00A51920">
      <w:pPr>
        <w:spacing w:after="0" w:line="240" w:lineRule="auto"/>
        <w:ind w:left="360"/>
        <w:jc w:val="both"/>
        <w:rPr>
          <w:rFonts w:ascii="Comic Sans MS" w:eastAsia="Times New Roman" w:hAnsi="Comic Sans MS" w:cs="Times New Roman"/>
          <w:sz w:val="24"/>
          <w:szCs w:val="24"/>
          <w:lang w:eastAsia="fr-FR"/>
        </w:rPr>
      </w:pPr>
      <w:hyperlink r:id="rId15" w:tgtFrame="_blank" w:history="1">
        <w:r w:rsidRPr="00A51920">
          <w:rPr>
            <w:rFonts w:ascii="Comic Sans MS" w:eastAsia="Times New Roman" w:hAnsi="Comic Sans MS" w:cs="Times New Roman"/>
            <w:b/>
            <w:bCs/>
            <w:color w:val="0000FF"/>
            <w:sz w:val="24"/>
            <w:szCs w:val="24"/>
            <w:u w:val="single"/>
            <w:lang w:eastAsia="fr-FR"/>
          </w:rPr>
          <w:t>Article 222-19 du Code Pénal</w:t>
        </w:r>
      </w:hyperlink>
    </w:p>
    <w:p w:rsidR="00062C2D" w:rsidRPr="00A51920" w:rsidRDefault="00062C2D" w:rsidP="00A51920">
      <w:pPr>
        <w:spacing w:after="0" w:line="240" w:lineRule="auto"/>
        <w:ind w:left="360"/>
        <w:jc w:val="both"/>
        <w:rPr>
          <w:rFonts w:ascii="Comic Sans MS" w:eastAsia="Times New Roman" w:hAnsi="Comic Sans MS" w:cs="Times New Roman"/>
          <w:i/>
          <w:iCs/>
          <w:sz w:val="24"/>
          <w:szCs w:val="24"/>
          <w:lang w:eastAsia="fr-FR"/>
        </w:rPr>
      </w:pPr>
      <w:r w:rsidRPr="00A51920">
        <w:rPr>
          <w:rFonts w:ascii="Comic Sans MS" w:eastAsia="Times New Roman" w:hAnsi="Comic Sans MS" w:cs="Times New Roman"/>
          <w:i/>
          <w:iCs/>
          <w:sz w:val="24"/>
          <w:szCs w:val="24"/>
          <w:lang w:eastAsia="fr-FR"/>
        </w:rPr>
        <w:t>Le fait de causer à autrui, dans les conditions et selon les distinctions prévues à l’article 121-3, par maladresse, imprudence, inattention, négligence ou manquement à une obligation de prudence ou de sécurité imposée par la loi ou le règlement, une incapacité totale de travail pendant plus de trois mois est puni de deux ans d’emprisonnement et de 30 000 euros d’amende.</w:t>
      </w:r>
      <w:r w:rsidRPr="00A51920">
        <w:rPr>
          <w:rFonts w:ascii="Comic Sans MS" w:eastAsia="Times New Roman" w:hAnsi="Comic Sans MS" w:cs="Times New Roman"/>
          <w:sz w:val="24"/>
          <w:szCs w:val="24"/>
          <w:lang w:eastAsia="fr-FR"/>
        </w:rPr>
        <w:br/>
      </w:r>
      <w:r w:rsidRPr="00A51920">
        <w:rPr>
          <w:rFonts w:ascii="Comic Sans MS" w:eastAsia="Times New Roman" w:hAnsi="Comic Sans MS" w:cs="Times New Roman"/>
          <w:i/>
          <w:iCs/>
          <w:sz w:val="24"/>
          <w:szCs w:val="24"/>
          <w:lang w:eastAsia="fr-FR"/>
        </w:rPr>
        <w:t>En cas de violation manifestement délibérée d’une obligation particulière de prudence ou de sécurité imposée par la loi ou le règlement, les peines encourues sont portées à trois ans d’emprisonnement et à 45 000 euros d’amende.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7. Si ENEDIS ou la société d’installation multiplie les appels téléphoniques, il s’agit de harcèlement téléphonique :</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HARCÈLEMENT TÉLÉPHONIQUE</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16" w:tgtFrame="_blank" w:history="1">
        <w:r w:rsidRPr="00062C2D">
          <w:rPr>
            <w:rFonts w:ascii="Comic Sans MS" w:eastAsia="Times New Roman" w:hAnsi="Comic Sans MS" w:cs="Times New Roman"/>
            <w:b/>
            <w:bCs/>
            <w:color w:val="0000FF"/>
            <w:sz w:val="24"/>
            <w:szCs w:val="24"/>
            <w:u w:val="single"/>
            <w:lang w:eastAsia="fr-FR"/>
          </w:rPr>
          <w:t>Article 222-16 du Code Pénal</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Les appels téléphoniques malveillants réitérés, les envois réitérés de messages malveillants émis par la voie des communications électroniques ou les agressions sonores en vue de troubler la tranquillité d’autrui sont punis d’un an d’emprisonnement et de 15 000 euros d’amende.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8.  TOUTE DISCRIMINATION EST INTERDITE.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sz w:val="24"/>
          <w:szCs w:val="24"/>
          <w:lang w:eastAsia="fr-FR"/>
        </w:rPr>
        <w:t xml:space="preserve">En établissant une distinction selon le lieu de pose du compteur (extérieur ou intérieur du domicile), </w:t>
      </w:r>
      <w:proofErr w:type="spellStart"/>
      <w:r w:rsidRPr="00062C2D">
        <w:rPr>
          <w:rFonts w:ascii="Comic Sans MS" w:eastAsia="Times New Roman" w:hAnsi="Comic Sans MS" w:cs="Times New Roman"/>
          <w:sz w:val="24"/>
          <w:szCs w:val="24"/>
          <w:lang w:eastAsia="fr-FR"/>
        </w:rPr>
        <w:t>Enedis</w:t>
      </w:r>
      <w:proofErr w:type="spellEnd"/>
      <w:r w:rsidRPr="00062C2D">
        <w:rPr>
          <w:rFonts w:ascii="Comic Sans MS" w:eastAsia="Times New Roman" w:hAnsi="Comic Sans MS" w:cs="Times New Roman"/>
          <w:sz w:val="24"/>
          <w:szCs w:val="24"/>
          <w:lang w:eastAsia="fr-FR"/>
        </w:rPr>
        <w:t xml:space="preserve"> crée une discrimination contraire à : </w:t>
      </w:r>
    </w:p>
    <w:p w:rsidR="00062C2D" w:rsidRPr="00062C2D" w:rsidRDefault="00062C2D" w:rsidP="00A51920">
      <w:pPr>
        <w:numPr>
          <w:ilvl w:val="0"/>
          <w:numId w:val="1"/>
        </w:num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xml:space="preserve">l’article L322-8 du Code de l’Énergie : </w:t>
      </w:r>
      <w:r w:rsidRPr="00062C2D">
        <w:rPr>
          <w:rFonts w:ascii="Comic Sans MS" w:eastAsia="Times New Roman" w:hAnsi="Comic Sans MS" w:cs="Times New Roman"/>
          <w:i/>
          <w:iCs/>
          <w:sz w:val="24"/>
          <w:szCs w:val="24"/>
          <w:lang w:eastAsia="fr-FR"/>
        </w:rPr>
        <w:t xml:space="preserve">« Sans préjudice des dispositions du sixième alinéa du I de </w:t>
      </w:r>
      <w:hyperlink r:id="rId17" w:tgtFrame="_blank" w:history="1">
        <w:r w:rsidRPr="00062C2D">
          <w:rPr>
            <w:rFonts w:ascii="Comic Sans MS" w:eastAsia="Times New Roman" w:hAnsi="Comic Sans MS" w:cs="Times New Roman"/>
            <w:i/>
            <w:iCs/>
            <w:color w:val="0000FF"/>
            <w:sz w:val="24"/>
            <w:szCs w:val="24"/>
            <w:u w:val="single"/>
            <w:lang w:eastAsia="fr-FR"/>
          </w:rPr>
          <w:t>l’article L. 2224-31</w:t>
        </w:r>
      </w:hyperlink>
      <w:r w:rsidRPr="00062C2D">
        <w:rPr>
          <w:rFonts w:ascii="Comic Sans MS" w:eastAsia="Times New Roman" w:hAnsi="Comic Sans MS" w:cs="Times New Roman"/>
          <w:i/>
          <w:iCs/>
          <w:sz w:val="24"/>
          <w:szCs w:val="24"/>
          <w:lang w:eastAsia="fr-FR"/>
        </w:rPr>
        <w:t xml:space="preserve"> du code général des collectivités territoriales, un gestionnaire de réseau de distribution d’électricité est, dans sa zone de desserte exclusive, notamment chargé, dans le cadre des cahiers des charges de concession et des règlements de service des régies : 4° D’assurer, dans des conditions objectives, transparentes et </w:t>
      </w:r>
      <w:r w:rsidRPr="00062C2D">
        <w:rPr>
          <w:rFonts w:ascii="Comic Sans MS" w:eastAsia="Times New Roman" w:hAnsi="Comic Sans MS" w:cs="Times New Roman"/>
          <w:b/>
          <w:bCs/>
          <w:i/>
          <w:iCs/>
          <w:sz w:val="24"/>
          <w:szCs w:val="24"/>
          <w:lang w:eastAsia="fr-FR"/>
        </w:rPr>
        <w:t>non discriminatoires</w:t>
      </w:r>
      <w:r w:rsidRPr="00062C2D">
        <w:rPr>
          <w:rFonts w:ascii="Comic Sans MS" w:eastAsia="Times New Roman" w:hAnsi="Comic Sans MS" w:cs="Times New Roman"/>
          <w:i/>
          <w:iCs/>
          <w:sz w:val="24"/>
          <w:szCs w:val="24"/>
          <w:lang w:eastAsia="fr-FR"/>
        </w:rPr>
        <w:t xml:space="preserve">, l’accès à ces réseaux ; »  </w:t>
      </w:r>
      <w:r w:rsidRPr="00062C2D">
        <w:rPr>
          <w:rFonts w:ascii="Comic Sans MS" w:eastAsia="Times New Roman" w:hAnsi="Comic Sans MS" w:cs="Times New Roman"/>
          <w:sz w:val="24"/>
          <w:szCs w:val="24"/>
          <w:lang w:eastAsia="fr-FR"/>
        </w:rPr>
        <w:t>(</w:t>
      </w:r>
      <w:hyperlink r:id="rId18" w:tgtFrame="_blank" w:history="1">
        <w:r w:rsidRPr="00062C2D">
          <w:rPr>
            <w:rFonts w:ascii="Comic Sans MS" w:eastAsia="Times New Roman" w:hAnsi="Comic Sans MS" w:cs="Times New Roman"/>
            <w:color w:val="0000FF"/>
            <w:sz w:val="24"/>
            <w:szCs w:val="24"/>
            <w:u w:val="single"/>
            <w:lang w:eastAsia="fr-FR"/>
          </w:rPr>
          <w:t>lien</w:t>
        </w:r>
      </w:hyperlink>
      <w:r w:rsidRPr="00062C2D">
        <w:rPr>
          <w:rFonts w:ascii="Comic Sans MS" w:eastAsia="Times New Roman" w:hAnsi="Comic Sans MS" w:cs="Times New Roman"/>
          <w:sz w:val="24"/>
          <w:szCs w:val="24"/>
          <w:lang w:eastAsia="fr-FR"/>
        </w:rPr>
        <w:t>)</w:t>
      </w:r>
    </w:p>
    <w:p w:rsidR="00062C2D" w:rsidRPr="00062C2D" w:rsidRDefault="00062C2D" w:rsidP="00A51920">
      <w:pPr>
        <w:numPr>
          <w:ilvl w:val="0"/>
          <w:numId w:val="2"/>
        </w:num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l’article R341-4 du Code de l’Énergie : « </w:t>
      </w:r>
      <w:r w:rsidRPr="00062C2D">
        <w:rPr>
          <w:rFonts w:ascii="Comic Sans MS" w:eastAsia="Times New Roman" w:hAnsi="Comic Sans MS" w:cs="Times New Roman"/>
          <w:i/>
          <w:iCs/>
          <w:sz w:val="24"/>
          <w:szCs w:val="24"/>
          <w:lang w:eastAsia="fr-FR"/>
        </w:rPr>
        <w:t xml:space="preserve">Les dispositifs de comptage doivent comporter un traitement des données enregistrées permettant leur mise à disposition au moins quotidienne. </w:t>
      </w:r>
      <w:r w:rsidRPr="00062C2D">
        <w:rPr>
          <w:rFonts w:ascii="Comic Sans MS" w:eastAsia="Times New Roman" w:hAnsi="Comic Sans MS" w:cs="Times New Roman"/>
          <w:b/>
          <w:bCs/>
          <w:i/>
          <w:iCs/>
          <w:sz w:val="24"/>
          <w:szCs w:val="24"/>
          <w:lang w:eastAsia="fr-FR"/>
        </w:rPr>
        <w:t xml:space="preserve">Les utilisateurs des réseaux et les tiers autorisés par les utilisateurs y ont accès dans des conditions transparentes, non discriminatoires, adaptées à leurs besoins respectifs </w:t>
      </w:r>
      <w:r w:rsidRPr="00062C2D">
        <w:rPr>
          <w:rFonts w:ascii="Comic Sans MS" w:eastAsia="Times New Roman" w:hAnsi="Comic Sans MS" w:cs="Times New Roman"/>
          <w:b/>
          <w:bCs/>
          <w:i/>
          <w:iCs/>
          <w:sz w:val="24"/>
          <w:szCs w:val="24"/>
          <w:lang w:eastAsia="fr-FR"/>
        </w:rPr>
        <w:lastRenderedPageBreak/>
        <w:t xml:space="preserve">et sous réserve des règles de confidentialité définies par les articles </w:t>
      </w:r>
      <w:hyperlink r:id="rId19" w:history="1">
        <w:r w:rsidRPr="00062C2D">
          <w:rPr>
            <w:rFonts w:ascii="Comic Sans MS" w:eastAsia="Times New Roman" w:hAnsi="Comic Sans MS" w:cs="Times New Roman"/>
            <w:b/>
            <w:bCs/>
            <w:i/>
            <w:iCs/>
            <w:color w:val="0000FF"/>
            <w:sz w:val="24"/>
            <w:szCs w:val="24"/>
            <w:u w:val="single"/>
            <w:lang w:eastAsia="fr-FR"/>
          </w:rPr>
          <w:t>R. 111-26 à R. 111-30</w:t>
        </w:r>
      </w:hyperlink>
      <w:r w:rsidRPr="00062C2D">
        <w:rPr>
          <w:rFonts w:ascii="Comic Sans MS" w:eastAsia="Times New Roman" w:hAnsi="Comic Sans MS" w:cs="Times New Roman"/>
          <w:b/>
          <w:bCs/>
          <w:i/>
          <w:iCs/>
          <w:sz w:val="24"/>
          <w:szCs w:val="24"/>
          <w:lang w:eastAsia="fr-FR"/>
        </w:rPr>
        <w:t xml:space="preserve">. »  </w:t>
      </w:r>
      <w:r w:rsidRPr="00062C2D">
        <w:rPr>
          <w:rFonts w:ascii="Comic Sans MS" w:eastAsia="Times New Roman" w:hAnsi="Comic Sans MS" w:cs="Times New Roman"/>
          <w:sz w:val="24"/>
          <w:szCs w:val="24"/>
          <w:lang w:eastAsia="fr-FR"/>
        </w:rPr>
        <w:t>(</w:t>
      </w:r>
      <w:hyperlink r:id="rId20" w:tgtFrame="_blank" w:history="1">
        <w:r w:rsidRPr="00062C2D">
          <w:rPr>
            <w:rFonts w:ascii="Comic Sans MS" w:eastAsia="Times New Roman" w:hAnsi="Comic Sans MS" w:cs="Times New Roman"/>
            <w:color w:val="0000FF"/>
            <w:sz w:val="24"/>
            <w:szCs w:val="24"/>
            <w:u w:val="single"/>
            <w:lang w:eastAsia="fr-FR"/>
          </w:rPr>
          <w:t>lien</w:t>
        </w:r>
      </w:hyperlink>
      <w:r w:rsidRPr="00062C2D">
        <w:rPr>
          <w:rFonts w:ascii="Comic Sans MS" w:eastAsia="Times New Roman" w:hAnsi="Comic Sans MS" w:cs="Times New Roman"/>
          <w:sz w:val="24"/>
          <w:szCs w:val="24"/>
          <w:lang w:eastAsia="fr-FR"/>
        </w:rPr>
        <w:t>)</w:t>
      </w:r>
    </w:p>
    <w:p w:rsidR="00062C2D"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 xml:space="preserve">    </w:t>
      </w:r>
    </w:p>
    <w:p w:rsidR="00062C2D" w:rsidRPr="00062C2D" w:rsidRDefault="00062C2D" w:rsidP="00A51920">
      <w:pPr>
        <w:spacing w:after="0" w:line="240" w:lineRule="auto"/>
        <w:ind w:firstLine="360"/>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9. DE L’ADMINISTRATION DE LA PREUVE</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Vous avez également le droit de prendre des photos ou filmer les scènes pour apporter les preuves de l’infraction</w:t>
      </w:r>
      <w:r w:rsidRPr="00062C2D">
        <w:rPr>
          <w:rFonts w:ascii="Comic Sans MS" w:eastAsia="Times New Roman" w:hAnsi="Comic Sans MS" w:cs="Times New Roman"/>
          <w:sz w:val="24"/>
          <w:szCs w:val="24"/>
          <w:lang w:eastAsia="fr-FR"/>
        </w:rPr>
        <w:t xml:space="preserve">. </w:t>
      </w:r>
    </w:p>
    <w:p w:rsidR="00A51920" w:rsidRDefault="00062C2D" w:rsidP="00A51920">
      <w:pPr>
        <w:spacing w:after="0" w:line="240" w:lineRule="auto"/>
        <w:jc w:val="both"/>
        <w:rPr>
          <w:rFonts w:ascii="Comic Sans MS" w:eastAsia="Times New Roman" w:hAnsi="Comic Sans MS" w:cs="Times New Roman"/>
          <w:b/>
          <w:bCs/>
          <w:sz w:val="24"/>
          <w:szCs w:val="24"/>
          <w:lang w:eastAsia="fr-FR"/>
        </w:rPr>
      </w:pPr>
      <w:r w:rsidRPr="00062C2D">
        <w:rPr>
          <w:rFonts w:ascii="Comic Sans MS" w:eastAsia="Times New Roman" w:hAnsi="Comic Sans MS" w:cs="Times New Roman"/>
          <w:b/>
          <w:bCs/>
          <w:sz w:val="24"/>
          <w:szCs w:val="24"/>
          <w:lang w:eastAsia="fr-FR"/>
        </w:rPr>
        <w:t>DE L’ADMINISTRATION DE LA PREUVE</w:t>
      </w:r>
    </w:p>
    <w:p w:rsidR="00A51920" w:rsidRDefault="00062C2D" w:rsidP="00A51920">
      <w:pPr>
        <w:spacing w:after="0" w:line="240" w:lineRule="auto"/>
        <w:jc w:val="both"/>
        <w:rPr>
          <w:rFonts w:ascii="Comic Sans MS" w:eastAsia="Times New Roman" w:hAnsi="Comic Sans MS" w:cs="Times New Roman"/>
          <w:sz w:val="24"/>
          <w:szCs w:val="24"/>
          <w:lang w:eastAsia="fr-FR"/>
        </w:rPr>
      </w:pPr>
      <w:hyperlink r:id="rId21" w:tgtFrame="_blank" w:history="1">
        <w:r w:rsidRPr="00062C2D">
          <w:rPr>
            <w:rFonts w:ascii="Comic Sans MS" w:eastAsia="Times New Roman" w:hAnsi="Comic Sans MS" w:cs="Times New Roman"/>
            <w:b/>
            <w:bCs/>
            <w:color w:val="0000FF"/>
            <w:sz w:val="24"/>
            <w:szCs w:val="24"/>
            <w:u w:val="single"/>
            <w:lang w:eastAsia="fr-FR"/>
          </w:rPr>
          <w:t>Article 427 du Code de procédure Pénale</w:t>
        </w:r>
      </w:hyperlink>
    </w:p>
    <w:p w:rsidR="00062C2D" w:rsidRDefault="00062C2D" w:rsidP="00A51920">
      <w:pPr>
        <w:spacing w:after="0" w:line="240" w:lineRule="auto"/>
        <w:jc w:val="both"/>
        <w:rPr>
          <w:rFonts w:ascii="Comic Sans MS" w:eastAsia="Times New Roman" w:hAnsi="Comic Sans MS" w:cs="Times New Roman"/>
          <w:i/>
          <w:iCs/>
          <w:sz w:val="24"/>
          <w:szCs w:val="24"/>
          <w:lang w:eastAsia="fr-FR"/>
        </w:rPr>
      </w:pPr>
      <w:r w:rsidRPr="00062C2D">
        <w:rPr>
          <w:rFonts w:ascii="Comic Sans MS" w:eastAsia="Times New Roman" w:hAnsi="Comic Sans MS" w:cs="Times New Roman"/>
          <w:i/>
          <w:iCs/>
          <w:sz w:val="24"/>
          <w:szCs w:val="24"/>
          <w:lang w:eastAsia="fr-FR"/>
        </w:rPr>
        <w:t>Hors les cas où la loi en dispose autrement, les infractions peuvent être établies par tout mode de preuve et le juge décide d’après son intime conviction.</w:t>
      </w:r>
      <w:r>
        <w:rPr>
          <w:rFonts w:ascii="Comic Sans MS" w:eastAsia="Times New Roman" w:hAnsi="Comic Sans MS" w:cs="Times New Roman"/>
          <w:i/>
          <w:iCs/>
          <w:sz w:val="24"/>
          <w:szCs w:val="24"/>
          <w:lang w:eastAsia="fr-FR"/>
        </w:rPr>
        <w:t xml:space="preserve"> </w:t>
      </w:r>
      <w:r w:rsidRPr="00062C2D">
        <w:rPr>
          <w:rFonts w:ascii="Comic Sans MS" w:eastAsia="Times New Roman" w:hAnsi="Comic Sans MS" w:cs="Times New Roman"/>
          <w:i/>
          <w:iCs/>
          <w:sz w:val="24"/>
          <w:szCs w:val="24"/>
          <w:lang w:eastAsia="fr-FR"/>
        </w:rPr>
        <w:t>Le juge ne peut fonder sa décision que sur des preuves qui lui sont apportées au cours des débats et contradictoirement discutées devant lui.</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b/>
          <w:bCs/>
          <w:sz w:val="24"/>
          <w:szCs w:val="24"/>
          <w:lang w:eastAsia="fr-FR"/>
        </w:rPr>
        <w:t>   10. SI LA POSE A EU LIEU, SI UNE INFRACTION EST CONSTATÉE, QUE FAIRE ?   PORTER PLAINTE.</w:t>
      </w:r>
    </w:p>
    <w:p w:rsidR="008C14D6"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sz w:val="24"/>
          <w:szCs w:val="24"/>
          <w:lang w:eastAsia="fr-FR"/>
        </w:rPr>
        <w:t xml:space="preserve">– </w:t>
      </w:r>
      <w:r w:rsidRPr="00062C2D">
        <w:rPr>
          <w:rFonts w:ascii="Comic Sans MS" w:eastAsia="Times New Roman" w:hAnsi="Comic Sans MS" w:cs="Times New Roman"/>
          <w:b/>
          <w:bCs/>
          <w:sz w:val="24"/>
          <w:szCs w:val="24"/>
          <w:lang w:eastAsia="fr-FR"/>
        </w:rPr>
        <w:t>Ecrire à ENEDIS par lettre RAR</w:t>
      </w:r>
      <w:r w:rsidRPr="00062C2D">
        <w:rPr>
          <w:rFonts w:ascii="Comic Sans MS" w:eastAsia="Times New Roman" w:hAnsi="Comic Sans MS" w:cs="Times New Roman"/>
          <w:sz w:val="24"/>
          <w:szCs w:val="24"/>
          <w:lang w:eastAsia="fr-FR"/>
        </w:rPr>
        <w:t>, avec mise en demeure de reposer l’ancien compteur (voir lettre type)</w:t>
      </w:r>
    </w:p>
    <w:p w:rsidR="008C14D6"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sz w:val="24"/>
          <w:szCs w:val="24"/>
          <w:lang w:eastAsia="fr-FR"/>
        </w:rPr>
        <w:t xml:space="preserve">– </w:t>
      </w:r>
      <w:r w:rsidRPr="00062C2D">
        <w:rPr>
          <w:rFonts w:ascii="Comic Sans MS" w:eastAsia="Times New Roman" w:hAnsi="Comic Sans MS" w:cs="Times New Roman"/>
          <w:b/>
          <w:bCs/>
          <w:sz w:val="24"/>
          <w:szCs w:val="24"/>
          <w:lang w:eastAsia="fr-FR"/>
        </w:rPr>
        <w:t>Se rendre au commissariat ou à la gendarmerie</w:t>
      </w:r>
      <w:r w:rsidRPr="00062C2D">
        <w:rPr>
          <w:rFonts w:ascii="Comic Sans MS" w:eastAsia="Times New Roman" w:hAnsi="Comic Sans MS" w:cs="Times New Roman"/>
          <w:sz w:val="24"/>
          <w:szCs w:val="24"/>
          <w:lang w:eastAsia="fr-FR"/>
        </w:rPr>
        <w:t xml:space="preserve"> pour déposer une plainte. Police ou gendarmerie sont tenues de recevoir la plainte, quelle que soit l’infraction constatée :</w:t>
      </w:r>
    </w:p>
    <w:p w:rsidR="008C14D6"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sz w:val="24"/>
          <w:szCs w:val="24"/>
          <w:lang w:eastAsia="fr-FR"/>
        </w:rPr>
        <w:t xml:space="preserve">– </w:t>
      </w:r>
      <w:r w:rsidRPr="00062C2D">
        <w:rPr>
          <w:rFonts w:ascii="Comic Sans MS" w:eastAsia="Times New Roman" w:hAnsi="Comic Sans MS" w:cs="Times New Roman"/>
          <w:b/>
          <w:bCs/>
          <w:sz w:val="24"/>
          <w:szCs w:val="24"/>
          <w:lang w:eastAsia="fr-FR"/>
        </w:rPr>
        <w:t>Article 15-3 du Code de procédure Pénale</w:t>
      </w:r>
      <w:r w:rsidRPr="00062C2D">
        <w:rPr>
          <w:rFonts w:ascii="Comic Sans MS" w:eastAsia="Times New Roman" w:hAnsi="Comic Sans MS" w:cs="Times New Roman"/>
          <w:sz w:val="24"/>
          <w:szCs w:val="24"/>
          <w:lang w:eastAsia="fr-FR"/>
        </w:rPr>
        <w:t xml:space="preserve"> : « </w:t>
      </w:r>
      <w:r w:rsidRPr="00062C2D">
        <w:rPr>
          <w:rFonts w:ascii="Comic Sans MS" w:eastAsia="Times New Roman" w:hAnsi="Comic Sans MS" w:cs="Times New Roman"/>
          <w:i/>
          <w:iCs/>
          <w:sz w:val="24"/>
          <w:szCs w:val="24"/>
          <w:lang w:eastAsia="fr-FR"/>
        </w:rPr>
        <w:t xml:space="preserve">La police judiciaire est tenue de recevoir les plaintes déposées par les victimes d’infractions à la loi pénale et de les transmettre, le cas échéant, au service ou à l’unité de police judiciaire territorialement compétent. Tout dépôt de plainte fait l’objet d’un procès-verbal et donne lieu à la délivrance immédiate d’un récépissé à la victime. Si elle en fait la demande, une copie du procès-verbal lui est immédiatement remise. » </w:t>
      </w:r>
      <w:r w:rsidRPr="00062C2D">
        <w:rPr>
          <w:rFonts w:ascii="Comic Sans MS" w:eastAsia="Times New Roman" w:hAnsi="Comic Sans MS" w:cs="Times New Roman"/>
          <w:sz w:val="24"/>
          <w:szCs w:val="24"/>
          <w:lang w:eastAsia="fr-FR"/>
        </w:rPr>
        <w:t>(</w:t>
      </w:r>
      <w:hyperlink r:id="rId22" w:tgtFrame="_blank" w:history="1">
        <w:proofErr w:type="gramStart"/>
        <w:r w:rsidRPr="00062C2D">
          <w:rPr>
            <w:rFonts w:ascii="Comic Sans MS" w:eastAsia="Times New Roman" w:hAnsi="Comic Sans MS" w:cs="Times New Roman"/>
            <w:color w:val="0000FF"/>
            <w:sz w:val="24"/>
            <w:szCs w:val="24"/>
            <w:u w:val="single"/>
            <w:lang w:eastAsia="fr-FR"/>
          </w:rPr>
          <w:t>lien</w:t>
        </w:r>
        <w:proofErr w:type="gramEnd"/>
      </w:hyperlink>
      <w:r w:rsidRPr="00062C2D">
        <w:rPr>
          <w:rFonts w:ascii="Comic Sans MS" w:eastAsia="Times New Roman" w:hAnsi="Comic Sans MS" w:cs="Times New Roman"/>
          <w:sz w:val="24"/>
          <w:szCs w:val="24"/>
          <w:lang w:eastAsia="fr-FR"/>
        </w:rPr>
        <w:t>)</w:t>
      </w:r>
    </w:p>
    <w:p w:rsidR="00062C2D" w:rsidRDefault="00062C2D" w:rsidP="00A51920">
      <w:pPr>
        <w:spacing w:after="0" w:line="240" w:lineRule="auto"/>
        <w:jc w:val="both"/>
        <w:rPr>
          <w:rFonts w:ascii="Comic Sans MS" w:eastAsia="Times New Roman" w:hAnsi="Comic Sans MS" w:cs="Times New Roman"/>
          <w:sz w:val="24"/>
          <w:szCs w:val="24"/>
          <w:lang w:eastAsia="fr-FR"/>
        </w:rPr>
      </w:pPr>
      <w:r w:rsidRPr="00062C2D">
        <w:rPr>
          <w:rFonts w:ascii="Comic Sans MS" w:eastAsia="Times New Roman" w:hAnsi="Comic Sans MS" w:cs="Times New Roman"/>
          <w:sz w:val="24"/>
          <w:szCs w:val="24"/>
          <w:lang w:eastAsia="fr-FR"/>
        </w:rPr>
        <w:t xml:space="preserve">– </w:t>
      </w:r>
      <w:r w:rsidRPr="00062C2D">
        <w:rPr>
          <w:rFonts w:ascii="Comic Sans MS" w:eastAsia="Times New Roman" w:hAnsi="Comic Sans MS" w:cs="Times New Roman"/>
          <w:b/>
          <w:bCs/>
          <w:sz w:val="24"/>
          <w:szCs w:val="24"/>
          <w:lang w:eastAsia="fr-FR"/>
        </w:rPr>
        <w:t>Obstruction au droit de déposer plainte</w:t>
      </w:r>
      <w:r w:rsidRPr="00062C2D">
        <w:rPr>
          <w:rFonts w:ascii="Comic Sans MS" w:eastAsia="Times New Roman" w:hAnsi="Comic Sans MS" w:cs="Times New Roman"/>
          <w:sz w:val="24"/>
          <w:szCs w:val="24"/>
          <w:lang w:eastAsia="fr-FR"/>
        </w:rPr>
        <w:t xml:space="preserve"> – Réponse du Ministère de l’Intérieur (JO Sénat – 27/02/2014) : « </w:t>
      </w:r>
      <w:r w:rsidRPr="00062C2D">
        <w:rPr>
          <w:rFonts w:ascii="Comic Sans MS" w:eastAsia="Times New Roman" w:hAnsi="Comic Sans MS" w:cs="Times New Roman"/>
          <w:i/>
          <w:iCs/>
          <w:sz w:val="24"/>
          <w:szCs w:val="24"/>
          <w:lang w:eastAsia="fr-FR"/>
        </w:rPr>
        <w:t>Les services de police et de gendarmerie sont tenus, en application de l’article 15-3 du code de procédure pénale, de recevoir la plainte de toute victime d’une infraction à la loi pénale, quel que soit le lieu de sa commission ou le lieu de domiciliation de la victime. Cette disposition permet à toute victime de déposer plainte dans le commissariat ou la gendarmerie de son choix. Il existe donc une obligation légale de recevoir les plaintes</w:t>
      </w:r>
      <w:r w:rsidRPr="00062C2D">
        <w:rPr>
          <w:rFonts w:ascii="Comic Sans MS" w:eastAsia="Times New Roman" w:hAnsi="Comic Sans MS" w:cs="Times New Roman"/>
          <w:sz w:val="24"/>
          <w:szCs w:val="24"/>
          <w:lang w:eastAsia="fr-FR"/>
        </w:rPr>
        <w:t>. » (</w:t>
      </w:r>
      <w:hyperlink r:id="rId23" w:tgtFrame="_blank" w:history="1">
        <w:proofErr w:type="gramStart"/>
        <w:r w:rsidRPr="00062C2D">
          <w:rPr>
            <w:rFonts w:ascii="Comic Sans MS" w:eastAsia="Times New Roman" w:hAnsi="Comic Sans MS" w:cs="Times New Roman"/>
            <w:color w:val="0000FF"/>
            <w:sz w:val="24"/>
            <w:szCs w:val="24"/>
            <w:u w:val="single"/>
            <w:lang w:eastAsia="fr-FR"/>
          </w:rPr>
          <w:t>lien</w:t>
        </w:r>
        <w:proofErr w:type="gramEnd"/>
      </w:hyperlink>
      <w:r w:rsidRPr="00062C2D">
        <w:rPr>
          <w:rFonts w:ascii="Comic Sans MS" w:eastAsia="Times New Roman" w:hAnsi="Comic Sans MS" w:cs="Times New Roman"/>
          <w:sz w:val="24"/>
          <w:szCs w:val="24"/>
          <w:lang w:eastAsia="fr-FR"/>
        </w:rPr>
        <w:t>)</w:t>
      </w:r>
    </w:p>
    <w:p w:rsidR="00062C2D" w:rsidRPr="00062C2D" w:rsidRDefault="00062C2D" w:rsidP="00A51920">
      <w:pPr>
        <w:spacing w:after="0" w:line="240" w:lineRule="auto"/>
        <w:jc w:val="both"/>
        <w:rPr>
          <w:rFonts w:ascii="Comic Sans MS" w:eastAsia="Times New Roman" w:hAnsi="Comic Sans MS" w:cs="Times New Roman"/>
          <w:sz w:val="24"/>
          <w:szCs w:val="24"/>
          <w:lang w:eastAsia="fr-FR"/>
        </w:rPr>
      </w:pPr>
    </w:p>
    <w:p w:rsidR="00020856" w:rsidRPr="00062C2D" w:rsidRDefault="00062C2D" w:rsidP="00A51920">
      <w:pPr>
        <w:spacing w:after="0" w:line="240" w:lineRule="auto"/>
        <w:jc w:val="both"/>
        <w:rPr>
          <w:rFonts w:ascii="Comic Sans MS" w:hAnsi="Comic Sans MS"/>
          <w:sz w:val="24"/>
          <w:szCs w:val="24"/>
        </w:rPr>
      </w:pPr>
      <w:r w:rsidRPr="00062C2D">
        <w:rPr>
          <w:rFonts w:ascii="Comic Sans MS" w:eastAsia="Times New Roman" w:hAnsi="Comic Sans MS" w:cs="Times New Roman"/>
          <w:sz w:val="24"/>
          <w:szCs w:val="24"/>
          <w:lang w:eastAsia="fr-FR"/>
        </w:rPr>
        <w:t xml:space="preserve">Un document du collectif </w:t>
      </w:r>
      <w:r w:rsidRPr="00062C2D">
        <w:rPr>
          <w:rFonts w:ascii="Comic Sans MS" w:eastAsia="Times New Roman" w:hAnsi="Comic Sans MS" w:cs="Times New Roman"/>
          <w:b/>
          <w:bCs/>
          <w:sz w:val="24"/>
          <w:szCs w:val="24"/>
          <w:lang w:eastAsia="fr-FR"/>
        </w:rPr>
        <w:t xml:space="preserve">CLACC </w:t>
      </w:r>
      <w:proofErr w:type="spellStart"/>
      <w:r w:rsidRPr="00062C2D">
        <w:rPr>
          <w:rFonts w:ascii="Comic Sans MS" w:eastAsia="Times New Roman" w:hAnsi="Comic Sans MS" w:cs="Times New Roman"/>
          <w:b/>
          <w:bCs/>
          <w:sz w:val="24"/>
          <w:szCs w:val="24"/>
          <w:lang w:eastAsia="fr-FR"/>
        </w:rPr>
        <w:t>Leman</w:t>
      </w:r>
      <w:proofErr w:type="spellEnd"/>
      <w:r w:rsidRPr="00062C2D">
        <w:rPr>
          <w:rFonts w:ascii="Comic Sans MS" w:eastAsia="Times New Roman" w:hAnsi="Comic Sans MS" w:cs="Times New Roman"/>
          <w:b/>
          <w:bCs/>
          <w:sz w:val="24"/>
          <w:szCs w:val="24"/>
          <w:lang w:eastAsia="fr-FR"/>
        </w:rPr>
        <w:t>,</w:t>
      </w:r>
      <w:r w:rsidRPr="00062C2D">
        <w:rPr>
          <w:rFonts w:ascii="Comic Sans MS" w:eastAsia="Times New Roman" w:hAnsi="Comic Sans MS" w:cs="Times New Roman"/>
          <w:sz w:val="24"/>
          <w:szCs w:val="24"/>
          <w:lang w:eastAsia="fr-FR"/>
        </w:rPr>
        <w:t xml:space="preserve"> installé en Haute-Savoie.</w:t>
      </w:r>
    </w:p>
    <w:sectPr w:rsidR="00020856" w:rsidRPr="0006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7EF4"/>
    <w:multiLevelType w:val="multilevel"/>
    <w:tmpl w:val="5DD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1778B"/>
    <w:multiLevelType w:val="multilevel"/>
    <w:tmpl w:val="B48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B3A88"/>
    <w:multiLevelType w:val="hybridMultilevel"/>
    <w:tmpl w:val="C01A22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2D"/>
    <w:rsid w:val="00020856"/>
    <w:rsid w:val="00062C2D"/>
    <w:rsid w:val="008C14D6"/>
    <w:rsid w:val="00A51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F5E8-90A7-4E3D-96CB-6DBF0E39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62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62C2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2C2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2C2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62C2D"/>
    <w:rPr>
      <w:color w:val="0000FF"/>
      <w:u w:val="single"/>
    </w:rPr>
  </w:style>
  <w:style w:type="paragraph" w:styleId="NormalWeb">
    <w:name w:val="Normal (Web)"/>
    <w:basedOn w:val="Normal"/>
    <w:uiPriority w:val="99"/>
    <w:semiHidden/>
    <w:unhideWhenUsed/>
    <w:rsid w:val="00062C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2C2D"/>
    <w:rPr>
      <w:b/>
      <w:bCs/>
    </w:rPr>
  </w:style>
  <w:style w:type="paragraph" w:customStyle="1" w:styleId="has-text-color">
    <w:name w:val="has-text-color"/>
    <w:basedOn w:val="Normal"/>
    <w:rsid w:val="00062C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C2D"/>
    <w:rPr>
      <w:i/>
      <w:iCs/>
    </w:rPr>
  </w:style>
  <w:style w:type="paragraph" w:styleId="z-Hautduformulaire">
    <w:name w:val="HTML Top of Form"/>
    <w:basedOn w:val="Normal"/>
    <w:next w:val="Normal"/>
    <w:link w:val="z-HautduformulaireCar"/>
    <w:hidden/>
    <w:uiPriority w:val="99"/>
    <w:semiHidden/>
    <w:unhideWhenUsed/>
    <w:rsid w:val="00062C2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62C2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62C2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62C2D"/>
    <w:rPr>
      <w:rFonts w:ascii="Arial" w:eastAsia="Times New Roman" w:hAnsi="Arial" w:cs="Arial"/>
      <w:vanish/>
      <w:sz w:val="16"/>
      <w:szCs w:val="16"/>
      <w:lang w:eastAsia="fr-FR"/>
    </w:rPr>
  </w:style>
  <w:style w:type="paragraph" w:styleId="Paragraphedeliste">
    <w:name w:val="List Paragraph"/>
    <w:basedOn w:val="Normal"/>
    <w:uiPriority w:val="34"/>
    <w:qFormat/>
    <w:rsid w:val="00A5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3155">
      <w:bodyDiv w:val="1"/>
      <w:marLeft w:val="0"/>
      <w:marRight w:val="0"/>
      <w:marTop w:val="0"/>
      <w:marBottom w:val="0"/>
      <w:divBdr>
        <w:top w:val="none" w:sz="0" w:space="0" w:color="auto"/>
        <w:left w:val="none" w:sz="0" w:space="0" w:color="auto"/>
        <w:bottom w:val="none" w:sz="0" w:space="0" w:color="auto"/>
        <w:right w:val="none" w:sz="0" w:space="0" w:color="auto"/>
      </w:divBdr>
      <w:divsChild>
        <w:div w:id="1681810235">
          <w:marLeft w:val="0"/>
          <w:marRight w:val="0"/>
          <w:marTop w:val="0"/>
          <w:marBottom w:val="0"/>
          <w:divBdr>
            <w:top w:val="none" w:sz="0" w:space="0" w:color="auto"/>
            <w:left w:val="none" w:sz="0" w:space="0" w:color="auto"/>
            <w:bottom w:val="none" w:sz="0" w:space="0" w:color="auto"/>
            <w:right w:val="none" w:sz="0" w:space="0" w:color="auto"/>
          </w:divBdr>
          <w:divsChild>
            <w:div w:id="2051489612">
              <w:marLeft w:val="0"/>
              <w:marRight w:val="0"/>
              <w:marTop w:val="0"/>
              <w:marBottom w:val="0"/>
              <w:divBdr>
                <w:top w:val="none" w:sz="0" w:space="0" w:color="auto"/>
                <w:left w:val="none" w:sz="0" w:space="0" w:color="auto"/>
                <w:bottom w:val="none" w:sz="0" w:space="0" w:color="auto"/>
                <w:right w:val="none" w:sz="0" w:space="0" w:color="auto"/>
              </w:divBdr>
              <w:divsChild>
                <w:div w:id="1069226746">
                  <w:marLeft w:val="0"/>
                  <w:marRight w:val="0"/>
                  <w:marTop w:val="0"/>
                  <w:marBottom w:val="0"/>
                  <w:divBdr>
                    <w:top w:val="none" w:sz="0" w:space="0" w:color="auto"/>
                    <w:left w:val="none" w:sz="0" w:space="0" w:color="auto"/>
                    <w:bottom w:val="none" w:sz="0" w:space="0" w:color="auto"/>
                    <w:right w:val="none" w:sz="0" w:space="0" w:color="auto"/>
                  </w:divBdr>
                  <w:divsChild>
                    <w:div w:id="1716351062">
                      <w:marLeft w:val="0"/>
                      <w:marRight w:val="0"/>
                      <w:marTop w:val="0"/>
                      <w:marBottom w:val="0"/>
                      <w:divBdr>
                        <w:top w:val="none" w:sz="0" w:space="0" w:color="auto"/>
                        <w:left w:val="none" w:sz="0" w:space="0" w:color="auto"/>
                        <w:bottom w:val="none" w:sz="0" w:space="0" w:color="auto"/>
                        <w:right w:val="none" w:sz="0" w:space="0" w:color="auto"/>
                      </w:divBdr>
                      <w:divsChild>
                        <w:div w:id="1715808665">
                          <w:marLeft w:val="0"/>
                          <w:marRight w:val="0"/>
                          <w:marTop w:val="0"/>
                          <w:marBottom w:val="0"/>
                          <w:divBdr>
                            <w:top w:val="none" w:sz="0" w:space="0" w:color="auto"/>
                            <w:left w:val="none" w:sz="0" w:space="0" w:color="auto"/>
                            <w:bottom w:val="none" w:sz="0" w:space="0" w:color="auto"/>
                            <w:right w:val="none" w:sz="0" w:space="0" w:color="auto"/>
                          </w:divBdr>
                          <w:divsChild>
                            <w:div w:id="17146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9273">
                      <w:marLeft w:val="0"/>
                      <w:marRight w:val="0"/>
                      <w:marTop w:val="0"/>
                      <w:marBottom w:val="0"/>
                      <w:divBdr>
                        <w:top w:val="none" w:sz="0" w:space="0" w:color="auto"/>
                        <w:left w:val="none" w:sz="0" w:space="0" w:color="auto"/>
                        <w:bottom w:val="none" w:sz="0" w:space="0" w:color="auto"/>
                        <w:right w:val="none" w:sz="0" w:space="0" w:color="auto"/>
                      </w:divBdr>
                      <w:divsChild>
                        <w:div w:id="887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7659&amp;dateTexte=&amp;categorieLien=cid" TargetMode="External"/><Relationship Id="rId13" Type="http://schemas.openxmlformats.org/officeDocument/2006/relationships/hyperlink" Target="https://www.legifrance.gouv.fr/affichCodeArticle.do?idArticle=LEGIARTI000030776820&amp;cidTexte=LEGITEXT000006070719&amp;dateTexte=20180514" TargetMode="External"/><Relationship Id="rId18" Type="http://schemas.openxmlformats.org/officeDocument/2006/relationships/hyperlink" Target="https://www.legifrance.gouv.fr/affichCodeArticle.do?cidTexte=LEGITEXT000023983208&amp;idArticle=LEGIARTI000023986513&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71154&amp;idArticle=LEGIARTI000006576544" TargetMode="External"/><Relationship Id="rId7" Type="http://schemas.openxmlformats.org/officeDocument/2006/relationships/hyperlink" Target="https://www.legifrance.gouv.fr/affichCode.do?idSectionTA=LEGISCTA000006165413&amp;cidTexte=LEGITEXT000006070719&amp;dateTexte=20150101" TargetMode="External"/><Relationship Id="rId12" Type="http://schemas.openxmlformats.org/officeDocument/2006/relationships/hyperlink" Target="https://www.legifrance.gouv.fr/affichCodeArticle.do?cidTexte=LEGITEXT000006070719&amp;idArticle=LEGIARTI000006418509&amp;dateTexte&amp;categorieLien=cid" TargetMode="External"/><Relationship Id="rId17" Type="http://schemas.openxmlformats.org/officeDocument/2006/relationships/hyperlink" Target="https://www.legifrance.gouv.fr/affichCodeArticle.do?cidTexte=LEGITEXT000006070633&amp;idArticle=LEGIARTI000006390402&amp;dateTexte=&amp;categorieLien=c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Article.do?cidTexte=LEGITEXT000006070719&amp;idArticle=LEGIARTI000006417656" TargetMode="External"/><Relationship Id="rId20" Type="http://schemas.openxmlformats.org/officeDocument/2006/relationships/hyperlink" Target="https://www.legifrance.gouv.fr/affichCodeArticle.do?idArticle=LEGIARTI000031749065&amp;cidTexte=LEGITEXT000023983208&amp;dateTexte=20160101" TargetMode="External"/><Relationship Id="rId1" Type="http://schemas.openxmlformats.org/officeDocument/2006/relationships/numbering" Target="numbering.xml"/><Relationship Id="rId6" Type="http://schemas.openxmlformats.org/officeDocument/2006/relationships/hyperlink" Target="https://www.legifrance.gouv.fr/affichCodeArticle.do?cidTexte=LEGITEXT000006070719&amp;idArticle=LEGIARTI000006417799&amp;dateTexte=&amp;categorieLien=cid" TargetMode="External"/><Relationship Id="rId11" Type="http://schemas.openxmlformats.org/officeDocument/2006/relationships/hyperlink" Target="https://www.legifrance.gouv.fr/affichCodeArticle.do?idArticle=LEGIARTI000024042663&amp;cidTexte=LEGITEXT000006070719&amp;dateTexte=20180514&amp;fastPos=1&amp;fastReqId=227732361&amp;oldAction=rechCodeArticle" TargetMode="External"/><Relationship Id="rId24" Type="http://schemas.openxmlformats.org/officeDocument/2006/relationships/fontTable" Target="fontTable.xml"/><Relationship Id="rId5" Type="http://schemas.openxmlformats.org/officeDocument/2006/relationships/hyperlink" Target="http://www.codes-et-lois.fr/code-penal/article-432-4" TargetMode="External"/><Relationship Id="rId15" Type="http://schemas.openxmlformats.org/officeDocument/2006/relationships/hyperlink" Target="https://www.legifrance.gouv.fr/affichCodeArticle.do?idArticle=LEGIARTI000024042643&amp;cidTexte=LEGITEXT000006070719&amp;dateTexte=20180514&amp;oldAction=rechCodeArticle&amp;fastReqId=649580497&amp;nbResultRech=1" TargetMode="External"/><Relationship Id="rId23" Type="http://schemas.openxmlformats.org/officeDocument/2006/relationships/hyperlink" Target="https://www.senat.fr/questions/base/2013/qSEQ131109285.html" TargetMode="External"/><Relationship Id="rId10" Type="http://schemas.openxmlformats.org/officeDocument/2006/relationships/hyperlink" Target="https://www.legifrance.gouv.fr/affichCodeArticle.do?cidTexte=LEGITEXT000006070719&amp;idArticle=LEGIARTI000006418258&amp;dateTexte=&amp;categorieLien=cid" TargetMode="External"/><Relationship Id="rId19" Type="http://schemas.openxmlformats.org/officeDocument/2006/relationships/hyperlink" Target="https://www.legifrance.gouv.fr/affichCodeArticle.do?cidTexte=LEGITEXT000023983208&amp;idArticle=LEGIARTI00003174736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19&amp;idArticle=LEGIARTI000006417494" TargetMode="External"/><Relationship Id="rId14" Type="http://schemas.openxmlformats.org/officeDocument/2006/relationships/hyperlink" Target="https://www.legifrance.gouv.fr/affichCodeArticle.do?idArticle=LEGIARTI000024042637&amp;cidTexte=LEGITEXT000006070719&amp;dateTexte=20180514&amp;oldAction=rechCodeArticle&amp;fastReqId=1013516331&amp;nbResultRech=1" TargetMode="External"/><Relationship Id="rId22" Type="http://schemas.openxmlformats.org/officeDocument/2006/relationships/hyperlink" Target="https://www.legifrance.gouv.fr/affichCodeArticle.do?idArticle=LEGIARTI000006574860&amp;cidTexte=LEGITEXT000006071154&amp;dateTexte=20100825&amp;oldAction=rechCodeArti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1891</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2019-10-24T15:32:00Z</dcterms:created>
  <dcterms:modified xsi:type="dcterms:W3CDTF">2019-10-24T15:42:00Z</dcterms:modified>
</cp:coreProperties>
</file>